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7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011545" cy="3305810"/>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11545" cy="330581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5605463</wp:posOffset>
                </wp:positionH>
                <wp:positionV relativeFrom="paragraph">
                  <wp:posOffset>74613</wp:posOffset>
                </wp:positionV>
                <wp:extent cx="581025" cy="606425"/>
                <wp:effectExtent b="0" l="0" r="0" t="0"/>
                <wp:wrapNone/>
                <wp:docPr id="1026" name=""/>
                <a:graphic>
                  <a:graphicData uri="http://schemas.microsoft.com/office/word/2010/wordprocessingShape">
                    <wps:wsp>
                      <wps:cNvSpPr/>
                      <wps:cNvPr id="2" name="Shape 2"/>
                      <wps:spPr>
                        <a:xfrm>
                          <a:off x="5060250" y="3481550"/>
                          <a:ext cx="571500" cy="5969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75.9999942779541"/>
                              <w:ind w:left="40" w:right="-2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5605463</wp:posOffset>
                </wp:positionH>
                <wp:positionV relativeFrom="paragraph">
                  <wp:posOffset>74613</wp:posOffset>
                </wp:positionV>
                <wp:extent cx="581025" cy="606425"/>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1025" cy="60642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93" w:right="2081"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REGOLAMENTO D’ISTITUTO</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left"/>
        <w:rPr>
          <w:rFonts w:ascii="Verdana" w:cs="Verdana" w:eastAsia="Verdana" w:hAnsi="Verdana"/>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10" w:right="896"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PER LA PREVENZIONE E IL CONTRASTO</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left"/>
        <w:rPr>
          <w:rFonts w:ascii="Verdana" w:cs="Verdana" w:eastAsia="Verdana" w:hAnsi="Verdana"/>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 w:right="1406"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DEL BULLISMO E CYBERBULLISMO</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76"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costituisce parte integrante del</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9" w:type="default"/>
          <w:pgSz w:h="16840" w:w="11920" w:orient="portrait"/>
          <w:pgMar w:bottom="280" w:top="993" w:left="1040" w:right="1020" w:header="0" w:footer="1061"/>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Regolamento d’Istituto</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9" w:line="240" w:lineRule="auto"/>
        <w:ind w:left="4598" w:right="422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Premessa</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3" w:right="5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scuola, in quanto luogo di formazione, inclusione e accoglienza, pone tra i suoi obiettivi primari il raggiungimento del benessere di ciascun singolo studente: la salute e la serenità psico- fisica della persona rappresentano infatti condizioni imprescindibili per il conseguimento di tutti gli altri obiettivi educativi e didattici che la scuola si pone.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5" w:lineRule="auto"/>
        <w:ind w:left="113" w:right="6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Compito specifico delle varie componenti scolastiche è dunque quello di educare e di vigilare, in sinergia con le famiglie e gli enti del territorio, affinché ciascun alunno svolga con serenità il proprio percorso di apprendimento e di crescita. A tale scopo la scuola mette in atto specifiche azioni, formative ed educative, e al contempo detta norme di comportamento per arginare ed eliminare ciò che eventualmente mina il benessere degli studenti.</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74" w:lineRule="auto"/>
        <w:ind w:left="113" w:right="59"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questo contesto vuole inserirsi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 per la prevenzione e il contrasto del bullismo e del cyberbullismo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(d’ora in poi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Esso, in linea con la normativa vigente e insieme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Patto Educativo di Corresponsabilità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funge da codice di riferimento per tutto l’Istituto in materia di bullismo e cyberbullismo. Suo obiettivo primario è quello di definire un protocollo di comportamento, chiaro e accessibile a tutti, per prevenire, individuare e contrastare all’interno dell’istituto qualsiasi atto riconducibile al bullismo e al cyberbullismo, e più in generale qualsiasi forma di violenza.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82" w:right="5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bullismo si intende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abuso di potere che si concretizza in tutte quelle azioni di sistematica prevaricazione e sopruso, messe in atto da parte di un adolescente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bullo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da parte di un gruppo, nei confronti di un altro adolescente percepito come più debole (la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vittima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75" w:lineRule="auto"/>
        <w:ind w:left="113" w:right="67" w:firstLine="61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bullismo si caratterizza, rispetto ad altre forme di aggressione o di violenza, per la presenza simultanea di questi tre elementi:</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intenzionalità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comportamento del bullo è teso ad arrecare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intenzionalmente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danno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468"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all’altra persona;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113" w:right="108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ripetizione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l’atteggiamento aggressivo nei confronti della vittima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 ripete nel tempo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15" w:right="408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squilibrio di potere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vittima non riesce a difendersi.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5" w:right="63" w:firstLine="7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bullismo si sviluppa in un gruppo di pari all’interno del quale, di norma, ciascun componente riveste uno specifico ruolo. I ruoli giocati dalle persone coinvolte possono essere ricondotti ai seguenti:</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5" w:lineRule="auto"/>
        <w:ind w:left="473" w:right="5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di solito il più forte e il più popolare all’interno del gruppo dei coetanei; ha forte bisogno di autoaffermazione e di potere. Mostra estrema difficoltà nell’autocontrollo e nel rispetto delle regole, nonché scarsa consapevolezza delle conseguenze delle proprie azioni. La sua aggressività non si riversa solo contro coetanei, ma spesso anche nei confronti di adulti (genitori e docenti). Non mostra sensi di colpa;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473" w:right="6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gregari: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i  sostenitori  del  bullo  che  ne  rafforzano  il  comportamento  intervenendo direttamente nelle azioni di violenza;</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5" w:lineRule="auto"/>
        <w:ind w:left="473" w:right="5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900" w:left="1020" w:right="1000" w:header="0" w:footer="1061"/>
        </w:sect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vittima: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chi subisce aggressioni, prepotenze o offese, spesso legate ad una sua caratteristica particolare rispetto al gruppo (l’aspetto fisico, la religione e la cultura, l’orientamento sessuale, eventuali disabilità, altro). È più debole rispetto agli altri, ha una bassa autostima, è di norma isolato e fatica a stringere relazioni con i pari. Per lo più finisce per accettare passivamente gli atti di bullismo perpetrati nei suoi confronti senza chiedere aiuto. Esiste anche la figura della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vittima</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473"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provocatrice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si caratterizza per la messa in atto di atteggiamenti fastidiosi o provocatori che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473"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attirano l’attenzione del bullo; viene normalmente trattata negativamente dall’intero gruppo.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473" w:right="-20" w:hanging="3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osservatori: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il gruppo di coetanei in presenza dei quali normalmente si verificano gli atti di bullismo. Per lo più essi non intervengono né denunciano l’azione agli adulti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maggioranza silenziosa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 paura di diventare a loro volta vittime del bullo o per mera indifferenza. Il gruppo degli osservatori può altresì comprendere un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difensore della vittima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fenomeno del bullismo può assumere forme differenti:</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6" w:lineRule="auto"/>
        <w:ind w:left="473" w:right="5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bullismo diretto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sua volta si divide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bullismo fisico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(prendere a pugni o a calci, rubare o maltrattare gli oggetti personali della vittima ...) 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bullismo verbale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(insultare, deridere, offendere ...). Tra le forme di bullismo diretto è sempre più diffuso il bullismo discriminatorio legato al pregiudizio (omofobico, razzista, contro i disabili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13" w:right="6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bullismo indiretto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concretizza in atti quali l’isolamento, l’esclusione dal gruppo, l’essere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47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vittima di pettegolezzi; è abbastanza comune nei gruppi di ragazze.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182" w:right="5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cyberbullismo si intende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attacco continuo, offensivo, ripetuto ed intenzionale, messo in atto sistematicamente da un individuo, o da un gruppo di individui, nei confronti di una persona che non può facilmente difendersi; esso viene perpetrato attraverso l’uso di mezzi elettronici o sfruttando gli strumenti della rete.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74" w:lineRule="auto"/>
        <w:ind w:left="113" w:right="62"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cyberbullismo presenta elementi di continuità rispetto al bullismo tradizionale (intenzionalità, ripetizione nel tempo, squilibrio di potere), ma anche elementi di novità, che caratterizzano in maniera specifica il fenomeno e che derivano dalle modalità interattive tramite cui esso viene perpetrato. I rischi di un atto di bullismo che avviene attraverso la rete sono numerosi e assai gravi:</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3" w:lineRule="auto"/>
        <w:ind w:left="401" w:right="61" w:hanging="2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anonimato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vittima può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conoscere l’identità del suo persecutore, che si nasconde dietro un nickname o un nome falso; non conoscere l’autore degli attacchi può aumentare il suo senso di frustrazione ed impotenza;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4" w:lineRule="auto"/>
        <w:ind w:left="401" w:right="56" w:hanging="2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rapida diffusione: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vittima può vedere la propria immagine danneggiata in brevissimo tempo in una comunità molto ampia, considerando che la diffusione in rete è incontrollabile e non avviene con un gruppo di persone definito;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3" w:lineRule="auto"/>
        <w:ind w:left="401" w:right="62" w:hanging="2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permanenza nel tempo: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contenuti offensivi condivisi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quanto difficili da rimuovere, possono apparire a più riprese in luoghi diversi;</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26" w:right="67"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distanza tra bullo e vittima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cyberbullo non vede le reazioni della vittima ai propri comportamenti e spesso non è pienamente consapevole del danno che arreca (manca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feedback</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392" w:lineRule="auto"/>
        <w:ind w:left="426" w:right="210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emotivo); ciò rende il bullo più disinibito e abbassa i livelli di autocontrollo. Sono riconducibili al cyberbullismo le seguenti condotte: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195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harassment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molestie attuate attraverso l’invio ripetuto di messaggi offensivi;</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71" w:lineRule="auto"/>
        <w:ind w:left="567" w:right="57" w:hanging="4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cyberstalking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invio ripetuto di messaggi che includono esplicite minacce fisiche, al punto che la vittima arriva a temere per la propria incolumità;</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13" w:right="21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flaming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litigi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nei quali si fa uso di un linguaggio violento e volgare;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2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940" w:left="1020" w:right="1000" w:header="0" w:footer="1061"/>
        </w:sect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esclusione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estromissione intenzionale dall’attività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dai gruppi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WhatsApp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74" w:lineRule="auto"/>
        <w:ind w:left="567" w:right="57" w:hanging="4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denigration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pubblicazione all’interno di comunità virtuali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newsgroup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forum di discussione, messaggistica immediata, siti internet, ... ) di pettegolezzi e commenti crudeli, calunniosi e denigratori.</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567" w:right="-23" w:hanging="4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outing and trickery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pubblicazione e diffusione di informazioni riservate e/o imbarazzanti estorte alla vittima con l’inganno, dopo aver instaurato con lei un clima di fiducia al solo scopo di danneggiarla.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20" w:hanging="4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impersonation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insinuazione all’interno dell’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account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un’altra persona con l’obiettivo di inviare dal medesimo messaggi ingiuriosi che screditino la vittima;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567" w:right="0" w:hanging="425"/>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happy slapping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diffusione online di materiale video in cui la vittima viene picchiata da uno o più aggressori. Le immagini, pubblicate su Internet, possono assumere un carattere di diffusione virale, aprendo discussioni e alimentando così la condivisione in rete;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sexting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invio di messaggi via smartphone ed internet corredati da immagini a sfondo sessuale.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0" w:right="97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Nell’intento di contrastare il bullismo ed il cyberbullismo, così come previsto:</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47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dagli artt. 3 – 33 – 34 della</w:t>
      </w:r>
      <w:hyperlink r:id="rId10">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Costituzione italiana</w:t>
        </w:r>
      </w:hyperlink>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833" w:right="6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 direttiva MI n.16 del 5 febbraio 2007 recante</w:t>
      </w:r>
      <w:hyperlink r:id="rId12">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Linee di indirizzo generali ed azioni a</w:t>
        </w:r>
      </w:hyperlink>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livello nazionale per la prevenzione e lotta al bullismo</w:t>
        </w:r>
      </w:hyperlink>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5" w:lineRule="auto"/>
        <w:ind w:left="833" w:right="58" w:hanging="360"/>
        <w:jc w:val="both"/>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 direttiva MI n.30 del 15 marzo 2007 recante  </w:t>
      </w:r>
      <w:hyperlink r:id="rId15">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Linee di indirizzo ed indicazioni in</w:t>
        </w:r>
      </w:hyperlink>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materia di utilizzo di “</w:t>
        </w:r>
      </w:hyperlink>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telefoni cellulari” e di altri dispositivi  elettronici durante  l’attività didattica, irrogazione di sanzioni disciplinari, dovere di vigilanza e di corresponsabilità dei</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genitori e dei docenti</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5" w:lineRule="auto"/>
        <w:ind w:left="833" w:right="5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 direttiva MI n.104 del 30 novembre 2007 recante  </w:t>
      </w:r>
      <w:hyperlink r:id="rId17">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Linee di indirizzo e chiarimenti</w:t>
        </w:r>
      </w:hyperlink>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interpretativi ed applicativi in ordine alla normativa vigente posta a tutela della </w:t>
        </w:r>
      </w:hyperlink>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w:t>
        </w:r>
      </w:hyperlink>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rivacy </w:t>
      </w:r>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con</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833" w:right="5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particolare riferimento all’utilizzo di telefoni cellulari o di altri dispositivi elettronici nelle comunità scolastiche allo scopo di acquisire e/o divulgare  immagini, filmati o registrazioni</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vocali</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0" w:line="276" w:lineRule="auto"/>
        <w:ind w:left="47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 direttiva MI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 n.1455 del 10 novembre 2006;</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46" w:line="240" w:lineRule="auto"/>
        <w:ind w:left="47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 D.P.R. 249/98 e 235/2007 recante</w:t>
      </w:r>
      <w:hyperlink r:id="rId21">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Statuto delle studentesse e degli studenti</w:t>
        </w:r>
      </w:hyperlink>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73" w:lineRule="auto"/>
        <w:ind w:left="833" w:right="6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 nota MI n.2519 del 13 aprile 2015 recante  </w:t>
      </w:r>
      <w:hyperlink r:id="rId23">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Linee di orientamento per azioni di</w:t>
        </w:r>
      </w:hyperlink>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hyperlink r:id="rId24">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prevenzione e di contrasto al bullismo e al cyberbullismo</w:t>
        </w:r>
      </w:hyperlink>
      <w:hyperlink r:id="rId2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0" w:line="276" w:lineRule="auto"/>
        <w:ind w:left="47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w:t>
      </w:r>
      <w:hyperlink r:id="rId26">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Dichiarazione dei diritti in Internet</w:t>
        </w:r>
      </w:hyperlink>
      <w:hyperlink r:id="rId27">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hyperlink>
      <w:hyperlink r:id="rId2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14 luglio 2015;</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73" w:lineRule="auto"/>
        <w:ind w:left="833" w:right="6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 Legge n.71 del 29 maggio 2017 recante </w:t>
      </w:r>
      <w:hyperlink r:id="rId29">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Disposizioni a tutela dei minori per la</w:t>
        </w:r>
      </w:hyperlink>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hyperlink r:id="rId30">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prevenzione ed il contrasto del fenomeno del cyberbullismo</w:t>
        </w:r>
      </w:hyperlink>
      <w:hyperlink r:id="rId3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successiva Legge n. 70 del 17 maggio 2024 recante </w:t>
        </w:r>
      </w:hyperlink>
      <w:hyperlink r:id="rId32">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Disposizioni e delega al governo in materia di prevenzione e contrasto del bullismo e cyberbullismo</w:t>
        </w:r>
      </w:hyperlink>
      <w:hyperlink r:id="rId3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3" w:lineRule="auto"/>
        <w:ind w:left="833" w:right="5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dalle</w:t>
      </w:r>
      <w:hyperlink r:id="rId34">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Linee di orientamento per la prevenzione e</w:t>
        </w:r>
      </w:hyperlink>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 </w:t>
      </w:r>
      <w:hyperlink r:id="rId35">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il contrasto del cyberbullismo</w:t>
        </w:r>
      </w:hyperlink>
      <w:hyperlink r:id="rId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2021</w:t>
        </w:r>
      </w:hyperlink>
      <w:hyperlink r:id="rId37">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w:t>
        </w:r>
      </w:hyperlink>
      <w:hyperlink r:id="rId3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aggiornate con </w:t>
        </w:r>
      </w:hyperlink>
      <w:hyperlink r:id="rId39">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Decreto n.18 del 13/01/2021</w:t>
        </w:r>
      </w:hyperlink>
      <w:hyperlink r:id="rId4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relativa </w:t>
        </w:r>
      </w:hyperlink>
      <w:hyperlink r:id="rId41">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Nota</w:t>
        </w:r>
      </w:hyperlink>
      <w:hyperlink r:id="rId4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65" w:line="240" w:lineRule="auto"/>
        <w:ind w:left="47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dagli artt. 581-582-594-595-610-612-635 del</w:t>
      </w:r>
      <w:hyperlink r:id="rId43">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Codice penale</w:t>
        </w:r>
      </w:hyperlink>
      <w:hyperlink r:id="rId4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46" w:line="240" w:lineRule="auto"/>
        <w:ind w:left="47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dagli artt.2043-2047-2048 </w:t>
      </w:r>
      <w:hyperlink r:id="rId45">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Codice civile</w:t>
        </w:r>
      </w:hyperlink>
      <w:hyperlink r:id="rId4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851" w:right="-2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 </w:t>
      </w:r>
      <w:hyperlink r:id="rId47">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Regolamento d’Istituto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revisione dell’ottobre 2020) e dal </w:t>
      </w:r>
      <w:hyperlink r:id="rId48">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Regolamento Didattica Digitale Integrata e Utilizzo Piattaforma G-Suite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dell’Istituto Omnicomprensivo di Padula;</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44" w:line="240" w:lineRule="auto"/>
        <w:ind w:left="473"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940" w:left="1020" w:right="1000" w:header="0" w:footer="1061"/>
        </w:sectPr>
      </w:pPr>
      <w:r w:rsidDel="00000000" w:rsidR="00000000" w:rsidRPr="00000000">
        <w:rPr>
          <w:rFonts w:ascii="Asset" w:cs="Asset" w:eastAsia="Asset" w:hAnsi="Asset"/>
          <w:b w:val="0"/>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 </w:t>
      </w:r>
      <w:hyperlink r:id="rId49">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Patto Educativo di Corresponsabilità del Liceo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del </w:t>
      </w:r>
      <w:hyperlink r:id="rId50">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Comprensivo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dell’IC Padula.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812" w:right="245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l’Istituto Omnicomprensivo di Padula</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 w:right="13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acquisita la Delibera del Collegio Docenti dell’11 gennaio 2023</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 w:right="13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vista la Delibera del Commissario Straordinario</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25" w:right="376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emana il seguente</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75" w:right="32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REGOLAMENTO D’ISTITUTO PER LA PREVENZIONE ED IL CONTRASTO</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78" w:right="22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DEL BULLISMO E DEL CYBERBULLISMO</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9" w:right="45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5" w:lineRule="auto"/>
        <w:ind w:left="115" w:right="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Premessa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parte integrante del presente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costituisce il quadro di insieme per la valutazione del comportamento degli alunni e la definizione delle azioni da intraprendere.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8" w:right="462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Art.2</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5" w:lineRule="auto"/>
        <w:ind w:left="115" w:right="6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Tutti gli alunni hanno il diritto a svolgere il proprio percorso di formazione e crescita all’interno di un ambiente di apprendimento sicuro e sereno. Contemporaneamente tutti gli studenti si impegnano ad avere un atteggiamento inclusivo e rispettoso nei confronti delle differenze.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6"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9" w:right="45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3</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13" w:right="5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Qualsiasi atto di bullismo o cyberbullismo all’interno dell’istituto è ritenuto deprecabile e inaccettabile e viene sanzionato severamente. Atti e condotte riconducibili a bullismo o cyberbullismo sono citati nella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Premessa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presente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con riferimento anche alle sanzioni, all’ art.11.</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113"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condotte di cyberbullismo, anche se poste in essere in altro luogo e in altro tempo rispetto all’edificio e all’orario scolastico (es: messaggi offensivi inviati di notte dal pc di casa), se conosciute dagli operatori scolastici (docenti, dirigente) rientrano nelle azioni perseguibili a scuola, vista la funzione educativa di quest’ultima e visto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Patto educativo di Corresponsabilità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la famiglia.</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9" w:right="45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4</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5" w:line="240" w:lineRule="auto"/>
        <w:ind w:left="113" w:right="24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della lotta al bullismo e cyberbullismo, 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Dirigente Scolastico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3" w:line="273" w:lineRule="auto"/>
        <w:ind w:left="720" w:right="5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 all’interno del personale scolastico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Referente per la prevenzione e contrasto al bullismo e cyberbullismo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per la prevenzione e contrasto al bullismo e al cyberbullismo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3" w:line="273" w:lineRule="auto"/>
        <w:ind w:left="720" w:right="5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coinvolge, nella prevenzione e contrasto al fenomeno del bullismo/cyberbullismo, tutte le componenti della comunità scolastica, costituendo un tavolo permanente di monitoraggio;</w:t>
      </w:r>
    </w:p>
    <w:p w:rsidR="00000000" w:rsidDel="00000000" w:rsidP="00000000" w:rsidRDefault="00000000" w:rsidRPr="00000000" w14:paraId="000000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33" w:line="273" w:lineRule="auto"/>
        <w:ind w:left="720" w:right="5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prevede all’interno del PTOF corsi di aggiornamento e formazione in materia di prevenzione dei fenomeni di bullismo e cyberbullismo, rivolti al personale docente ed ATA;</w:t>
      </w:r>
    </w:p>
    <w:p w:rsidR="00000000" w:rsidDel="00000000" w:rsidP="00000000" w:rsidRDefault="00000000" w:rsidRPr="00000000" w14:paraId="0000007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41" w:line="274" w:lineRule="auto"/>
        <w:ind w:left="720" w:right="63"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promuove azioni di sensibilizzazione ai fenomeni del bullismo e cyberbullismo nell’ambito scolastico, in sinergia con enti, associazioni, istituzioni locali ed altre scuole, coinvolgendo alunni, docenti, genitori ed esperti;</w:t>
      </w:r>
    </w:p>
    <w:p w:rsidR="00000000" w:rsidDel="00000000" w:rsidP="00000000" w:rsidRDefault="00000000" w:rsidRPr="00000000" w14:paraId="0000007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5" w:line="274" w:lineRule="auto"/>
        <w:ind w:left="720" w:right="6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900" w:left="1020" w:right="1000" w:header="0" w:footer="106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favorisce la discussione all’interno della scuola, attraverso i vari organi collegiali, creando i presupposti per regole condivise di comportamento per la prevenzione e il contrasto dei fenomeni di bullismo e cyberbullismo;</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74" w:lineRule="auto"/>
        <w:ind w:left="893" w:right="12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vaglia le proposte del docente referente e dei docenti di classe di attivare azioni culturali ed educative rivolte agli studenti per fare acquisire le competenze necessarie all’esercizio di una cittadinanza digitale consapevole.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7" w:right="44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5</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53" w:line="274" w:lineRule="auto"/>
        <w:ind w:left="176"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 contrasto al bullismo e al cyberbullismo, 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Referente per la prevenzione e contrasto al bullismo e cyberbullismo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4" w:line="240" w:lineRule="auto"/>
        <w:ind w:left="714" w:right="57"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 le azioni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per la prevenzione e contrasto al bullismo e al cyberbullismo;</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31" w:line="276"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approfondisce, applica e condivide con i colleghi quanto indicato nel presente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Protocollo di azione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1) e nella documentazione piè aggiornata sull’argomento (es: il documento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Safe Web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della Polizia di Stato, relativo alla “Osservazione e azione per la protezione degli studenti in Rete”);</w:t>
      </w:r>
    </w:p>
    <w:p w:rsidR="00000000" w:rsidDel="00000000" w:rsidP="00000000" w:rsidRDefault="00000000" w:rsidRPr="00000000" w14:paraId="0000008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5"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propone azioni a supporto della prevenzione e contrasto dei fenomeni di bullismo e cyberbullismo attraverso progetti d’istituto che coinvolgano studenti, genitori e tutto il personale, anche in collaborazione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partner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esterni alla scuola (servizi sociali e sanitari, aziende del privato sociale, Forze dell’Ordine, altro);</w:t>
      </w:r>
    </w:p>
    <w:p w:rsidR="00000000" w:rsidDel="00000000" w:rsidP="00000000" w:rsidRDefault="00000000" w:rsidRPr="00000000" w14:paraId="0000008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75"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 le attività di prevenzione ed informazione sulle sanzioni previste e sulle responsabilità di natura civile e penale, anche con affiancamento di genitori e studenti;</w:t>
      </w:r>
    </w:p>
    <w:p w:rsidR="00000000" w:rsidDel="00000000" w:rsidP="00000000" w:rsidRDefault="00000000" w:rsidRPr="00000000" w14:paraId="0000008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75"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partecipa ad incontri organizzativi con i servizi sociali del Comune sul tema delle modalità di gestione del disagio;</w:t>
      </w:r>
    </w:p>
    <w:p w:rsidR="00000000" w:rsidDel="00000000" w:rsidP="00000000" w:rsidRDefault="00000000" w:rsidRPr="00000000" w14:paraId="0000008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 w:line="240"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propone annualmente eventuali aggiornamenti o modifiche al presente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Protocollo di azione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1) per la gestione delle emergenze;</w:t>
      </w:r>
    </w:p>
    <w:p w:rsidR="00000000" w:rsidDel="00000000" w:rsidP="00000000" w:rsidRDefault="00000000" w:rsidRPr="00000000" w14:paraId="0000008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38" w:line="275"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caso di emergenza, interviene tempestivamente seguendo i passaggi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Protocollo di azione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(allegato 1), in collaborazione con il Dirigente, i colleghi, le famiglie ed eventualmente le forze dell’ordine;</w:t>
      </w:r>
    </w:p>
    <w:p w:rsidR="00000000" w:rsidDel="00000000" w:rsidP="00000000" w:rsidRDefault="00000000" w:rsidRPr="00000000" w14:paraId="0000008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38" w:line="275"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propone azioni di monitoraggio sul benessere degli alunni vittime in collaborazione con le famiglie, nonché azioni di recupero per alunni che hanno manifestato comportamenti riconducibili ai fenomeni del bullismo e cyberbullismo.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7" w:right="44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6</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4" w:lineRule="auto"/>
        <w:ind w:left="101" w:right="1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della lotta al bullismo e al cyberbullismo, 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Collegio Docenti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promuove scelte didattiche ed educative per la prevenzione di tali fenomeni, in eventuale collaborazione con altre scuole in rete.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67" w:right="465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7</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73" w:right="204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 contrasto al bullismo e al cyberbullismo, 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Consiglio di Classe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7" w:line="276" w:lineRule="auto"/>
        <w:ind w:left="720" w:right="46"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pianifica attività didattiche o integrative finalizzate al coinvolgimento attivo e collaborativo degli studenti e all’approfondimento di tematiche che favoriscano la conoscenza, la consapevolezza, la riflessione, il rispetto dei valori di convivenza civile;</w:t>
      </w:r>
    </w:p>
    <w:p w:rsidR="00000000" w:rsidDel="00000000" w:rsidP="00000000" w:rsidRDefault="00000000" w:rsidRPr="00000000" w14:paraId="000000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75" w:lineRule="auto"/>
        <w:ind w:left="720" w:right="5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favorisce un clima collaborativo all’interno della classe e nelle relazioni con le famiglie proponendo progetti di educazione alla legalità e alla cittadinanza attiva;</w:t>
      </w:r>
    </w:p>
    <w:p w:rsidR="00000000" w:rsidDel="00000000" w:rsidP="00000000" w:rsidRDefault="00000000" w:rsidRPr="00000000" w14:paraId="000000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 w:line="275" w:lineRule="auto"/>
        <w:ind w:left="720" w:right="5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 al suo interno almeno un docente, oltre il Coordinatore di Classe, quale membro del tavolo permanente di monitoraggio.</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27" w:right="429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8</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73" w:right="3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 contrasto al bullismo e al cyberbullismo, 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docenti:</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38" w:line="240" w:lineRule="auto"/>
        <w:ind w:left="720" w:right="-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attenti ai comportamenti dei propri alunni in ogni momento della vita scolastica;</w:t>
      </w:r>
    </w:p>
    <w:p w:rsidR="00000000" w:rsidDel="00000000" w:rsidP="00000000" w:rsidRDefault="00000000" w:rsidRPr="00000000" w14:paraId="0000009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50" w:line="240" w:lineRule="auto"/>
        <w:ind w:left="714" w:right="164"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conoscono il contenuto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si attengono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Protocollo di azione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caso di emergenza;</w:t>
      </w:r>
    </w:p>
    <w:p w:rsidR="00000000" w:rsidDel="00000000" w:rsidP="00000000" w:rsidRDefault="00000000" w:rsidRPr="00000000" w14:paraId="0000009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50" w:line="276"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propongono in classe attività didattiche finalizzate alla conoscenza del bullismo e cyberbullismo e alla diffusione di buone pratiche, consapevoli che l’istruzione ha un ruolo fondamentale tanto nell’acquisizione e rispetto delle norme relative alla convivenza civile, quanto nella trasmissione dei valori legati ad un uso responsabile di internet;</w:t>
      </w:r>
    </w:p>
    <w:p w:rsidR="00000000" w:rsidDel="00000000" w:rsidP="00000000" w:rsidRDefault="00000000" w:rsidRPr="00000000" w14:paraId="0000009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4" w:line="275" w:lineRule="auto"/>
        <w:ind w:left="720" w:right="65"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valorizzano nell’attività didattica momenti di riflessione sul tema del bullismo e del cyberbullismo, adeguati al livello di età degli alunni.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6"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47" w:right="441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9</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01"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 contrasto al bullismo e al cyberbullismo, 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genitori:</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45"/>
        </w:tabs>
        <w:spacing w:after="0" w:before="50" w:line="240" w:lineRule="auto"/>
        <w:ind w:left="714" w:right="57" w:hanging="35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attenti ai comportamenti dei propri figli;</w:t>
      </w:r>
    </w:p>
    <w:p w:rsidR="00000000" w:rsidDel="00000000" w:rsidP="00000000" w:rsidRDefault="00000000" w:rsidRPr="00000000" w14:paraId="0000009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45"/>
        </w:tabs>
        <w:spacing w:after="0" w:before="50" w:line="272"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vigilano sull’uso delle tecnologie da parte dei ragazzi, con particolare attenzione ai tempi, alle modalità, agli atteggiamenti conseguenti (i genitori dovrebbero allertarsi se uno studente, dopo l’uso di internet, del proprio telefonino, del pc, ecc…, mostra stati depressivi, ansiosi o di paura);</w:t>
      </w:r>
    </w:p>
    <w:p w:rsidR="00000000" w:rsidDel="00000000" w:rsidP="00000000" w:rsidRDefault="00000000" w:rsidRPr="00000000" w14:paraId="0000009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45"/>
        </w:tabs>
        <w:spacing w:after="0" w:before="50" w:line="275"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partecipano attivamente alle azioni di formazione/informazione istituite dalle scuole su comportamenti sintomatici del bullismo e del cyberbullismo;</w:t>
      </w:r>
    </w:p>
    <w:p w:rsidR="00000000" w:rsidDel="00000000" w:rsidP="00000000" w:rsidRDefault="00000000" w:rsidRPr="00000000" w14:paraId="000000A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45"/>
        </w:tabs>
        <w:spacing w:after="0" w:before="50" w:line="276"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conoscono le azioni messe in campo dalla scuola e collaborano secondo le modalità previste dal Patto di Corresponsabilità;</w:t>
      </w:r>
    </w:p>
    <w:p w:rsidR="00000000" w:rsidDel="00000000" w:rsidP="00000000" w:rsidRDefault="00000000" w:rsidRPr="00000000" w14:paraId="000000A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45"/>
        </w:tabs>
        <w:spacing w:after="0" w:before="50" w:line="240"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conoscono il codice di comportamento dello studente contenuto nel Regolamento d’Istituto;</w:t>
      </w:r>
    </w:p>
    <w:p w:rsidR="00000000" w:rsidDel="00000000" w:rsidP="00000000" w:rsidRDefault="00000000" w:rsidRPr="00000000" w14:paraId="000000A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45"/>
        </w:tabs>
        <w:spacing w:after="0" w:before="50" w:line="240"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conoscono le sanzioni previste dal Regolamento d’Istituto nei casi di bullismo, cyberbullismo e navigazione online a rischio;</w:t>
      </w:r>
    </w:p>
    <w:p w:rsidR="00000000" w:rsidDel="00000000" w:rsidP="00000000" w:rsidRDefault="00000000" w:rsidRPr="00000000" w14:paraId="000000A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45"/>
        </w:tabs>
        <w:spacing w:after="0" w:before="50" w:line="240"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individuano al loro interno, a titolo spontaneo e volontario, membri del tavolo permanente di monitoraggio.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13" w:right="438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Art.10</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01"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 contrasto al bullismo e al cyberbullismo,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gli studenti:</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34" w:line="275" w:lineRule="auto"/>
        <w:ind w:left="782"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conoscono il contenuto del presente Regolamento e le sanzioni/ i provvedimenti disciplinari cui può andare incontro chi adotta comportamenti da bullo o da cyberbullo;</w:t>
      </w:r>
    </w:p>
    <w:p w:rsidR="00000000" w:rsidDel="00000000" w:rsidP="00000000" w:rsidRDefault="00000000" w:rsidRPr="00000000" w14:paraId="000000A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4" w:line="275" w:lineRule="auto"/>
        <w:ind w:left="782"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coinvolti in attività, iniziative, progetti atti a far conoscere il bullismo e il cyberbullismo per prevenirli e contrastarli;</w:t>
      </w:r>
    </w:p>
    <w:p w:rsidR="00000000" w:rsidDel="00000000" w:rsidP="00000000" w:rsidRDefault="00000000" w:rsidRPr="00000000" w14:paraId="000000A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75" w:lineRule="auto"/>
        <w:ind w:left="782"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coscienti del disvalore della condotta del bullo o del cyberbullo. Lo stesso disvalore viene attribuito a chi omertosamente mostra indifferenza o a chi all’interno del gruppo rafforza la condotta aggressiva;</w:t>
      </w:r>
    </w:p>
    <w:p w:rsidR="00000000" w:rsidDel="00000000" w:rsidP="00000000" w:rsidRDefault="00000000" w:rsidRPr="00000000" w14:paraId="000000A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73" w:lineRule="auto"/>
        <w:ind w:left="782"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le lezioni o le attività didattiche in genere comprese le uscite didattiche e i viaggi di istruzione) non possono usare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cellulari, giochi elettronici e riproduttori di musica, se non per finalità didattiche, previo consenso del docente (a tal proposito si veda anche il documento di e-Policy approvato nel Collegio Docenti in data 16 novembre 2020 e successivamente ampliato e modificato, pubblicato sul sito del MI di Generazioni Connesse);</w:t>
      </w:r>
    </w:p>
    <w:p w:rsidR="00000000" w:rsidDel="00000000" w:rsidP="00000000" w:rsidRDefault="00000000" w:rsidRPr="00000000" w14:paraId="000000A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 w:line="273" w:lineRule="auto"/>
        <w:ind w:left="782" w:right="57"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possono, durante le attività didattiche o comunque all’interno della scuola, acquisire –mediante telefoni cellulari o altri dispositivi elettronici – immagini, filmati o registrazioni vocali, se non per finalità didattiche, previo consenso del docente. La divulgazione del materiale acquisito all’interno dell’istituto è utilizzabile solo per fini esclusivamente personali di studio o documentazione, e comunque nel rispetto del diritto alla riservatezza di tutti;</w:t>
      </w:r>
    </w:p>
    <w:p w:rsidR="00000000" w:rsidDel="00000000" w:rsidP="00000000" w:rsidRDefault="00000000" w:rsidRPr="00000000" w14:paraId="000000A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69" w:line="275" w:lineRule="auto"/>
        <w:ind w:left="714" w:right="57"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impegnano ad imparare e a rispettare 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netiquette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le regole basilari di rispetto degli altri quando sono connessi alla rete, facendo in particolare attenzione ai messaggi che inviano (e- mail, sms, mms, chat,..);</w:t>
      </w:r>
    </w:p>
    <w:p w:rsidR="00000000" w:rsidDel="00000000" w:rsidP="00000000" w:rsidRDefault="00000000" w:rsidRPr="00000000" w14:paraId="000000A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 w:line="276.99999999999994" w:lineRule="auto"/>
        <w:ind w:left="714" w:right="57"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impegnano a contrastare 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hatespeech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 web, adottando i comportamenti previsti nei dieci punti del</w:t>
      </w:r>
      <w:hyperlink r:id="rId51">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 Manifesto della comunicazione non ostile</w:t>
        </w:r>
      </w:hyperlink>
      <w:hyperlink r:id="rId5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6" w:line="276" w:lineRule="auto"/>
        <w:ind w:left="714" w:right="57"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impegnano a combattere il razzismo e la discriminazione nelle loro espressioni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ad adottare comportamenti che contrastino messaggi discriminatori nonché ogni forma di violenza e odio, in linea con l’art.13 comma 2 della </w:t>
      </w:r>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Dichiarazione dei diritti di Internet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6" w:line="276" w:lineRule="auto"/>
        <w:ind w:left="714" w:right="57"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entrano di diritto nel tavolo permanente di monitoraggio, individuando tra loro dei rappresentanti su base volontaria.</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4713" w:right="434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11</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4" w:lineRule="auto"/>
        <w:ind w:left="115" w:right="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L’Istituto considera come infrazione grave i comportamenti accertati che si configurino come forme di bullismo e cyberbullismo e li sanziona sulla base di quanto previsto dal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 di disciplina.</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4" w:lineRule="auto"/>
        <w:ind w:left="115" w:right="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sanzioni disciplinari che la scuola adotta come conseguenze degli atti di bullismo e cyberbullismo vogliono far riflettere sulla gravità del fatto, in modo da dimostrare a tutti (studenti e genitori) che tali fenomeni non sono in nessun caso accettati. Si precisa che compito preminente della scuola è educare e formare, non punire, e proprio a questo principio sono improntate le sanzioni: ogni provvedimento disciplinare terrà conto della rieducazione e del recupero dello studente.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4" w:lineRule="auto"/>
        <w:ind w:left="113"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quest’ottica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è fondamentale la collaborazione con i genitori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È importante in particolare che le famiglie evitino di sottovalutare i fatti, giudicando azioni di bullismo o cyberbullismo come normali fenomeni facenti parti della crescita.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L’alleanza tra adulti è determinante per contrastare simili atti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ricorda in questa sede che nel caso la famiglia non collabori, giustifichi, mostri atteggiamenti oppositivi, o comunque inadeguatezza o debolezza educativa, la scuola può procedere alla segnalazione ai Servizi Sociali del Comune.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76" w:lineRule="auto"/>
        <w:ind w:left="113" w:right="5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 considerato che ai fenomeni di bullismo e cyberbullismo è spesso collegata la commissione di veri e propri reati procedibili d’ufficio (es: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minaccia, lesione personale, stalking/atti persecutori, istigazione al suicidio, estorsione, violenza privata, sostituzione di persona, prostituzione minorile, delitti “sessuali”,...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dei  quali  il  Dirigente Scolastico  non  può  omettere denuncia all’Autorità Giudiziaria. La minore età non sempre protegge dalle conseguenze penali del proprio comportamento.</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riportano di seguito una sintesi della normativa sulla procedibilità penale nei confronti dei minori ed i comportamenti sanzionabili (alla data di emanazione del presente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selezionando nello specifico le condotte ascrivibili al bullismo e le relative sanzioni.</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 w:right="159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Sintesi della normativa sulla procedibilità penale nei confronti dei minori</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5" w:right="61"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Fino al compimento dei 14 anni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ragazzi non sono responsabili penalmente delle loro azioni: qualora essi commettano reati saranno i genitori a rispondere (sotto il profilo civile) delle loro condotte illegali. I minori con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un’età compresa tra i 14 e i 18 anni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diversamente, possono essere penalmente imputabili, qualora vengano considerati capaci di intendere e di volere al momento della commissione del reato. In quest’ultimo caso, se la responsabilità penale dovesse essere accertata, il minore andrà incontro a misure e provvedimenti che rispondono a principi di</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95"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giustizia minorile adatti all’età del ragazzo.</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74" w:lineRule="auto"/>
        <w:ind w:left="395" w:right="236"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presenza di reato (commesso 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soggetti ultraquattordicenni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è possibile presentare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denuncia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all’Autorità giudiziaria (o alla Questura, ai Carabinieri, ecc.) per attivare un procedimento penale. La legge 71/2017 (art. 7) aggiunge la possibilità di presentare al questore anche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istanza di ammonimento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nel caso in cui non si ravvisino reati perseguibili d’ufficio o non sia stata formalizzata querela o presentata denuncia per le condotte di ingiuria (reato depenalizzato), diffamazione, minaccia o trattamento illecito dei dati personali commessi mediante la rete Internet nei confronti di altro minorenne, è possibile rivolgere al Questore un’istanza di ammonimento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nei confronti del minore ultraquattordicenne autore della condotta molesta.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L’ammonimento, in quanto provvedimento amministrativo, non richiede una prova certa e inconfutabile dei fatti. Qualora l’istanza sia considerata fondata il Questore convocherà il minore responsabile, insieme ad almeno un genitore, ammonendolo oralmente e invitandolo a tenere una condotta conforme alla legge con specifiche prescrizioni che, ovviamente, varieranno in base ai casi. La legge non prevede un termine di durata massima dell'ammonimento, ma specifica che i relativi effetti cesseranno al compimento della maggiore età.</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3" w:lineRule="auto"/>
        <w:ind w:left="321" w:right="239"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sset" w:cs="Asset" w:eastAsia="Asset" w:hAnsi="Asset"/>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Comportamenti sanzionabili,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in riferimento alle sole condotte ascrivibili al bullismo.</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3" w:lineRule="auto"/>
        <w:ind w:left="321" w:right="239"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Comportamenti sanzionabili</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ascrivibili a condotte di cyberbullismo sono invece elencati nell’ e-Policy d’Istituto approvato nel Collegio Docenti in data 16 novembre 2020 (e successivi aggiornamenti fino all’edizione del 24.04.2024) e pubblicato sul sito del MI di Generazioni Connesse.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3" w:lineRule="auto"/>
        <w:ind w:left="321" w:right="239"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Va tuttavia premesso, come riportato dal Regolamento d’Istituto (Capo V, art. 3) che il tema delle sanzioni disciplinari studenti è da anni al centro di un acceso dibattito. La scuola, oltre a essere luogo di formazione culturale, è chiamata a educare alla cittadinanza. Le procedure disciplinari scuola, secondo la normativa vigente, dovrebbero servire da deterrente e, soprattutto, da strumento di recupero per gli allievi che presentano condotte problematiche.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45" w:lineRule="auto"/>
        <w:ind w:left="321" w:right="-284"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 partire dall’anno scolastico 2025 2026 le nuove regole sulle sanzioni disciplinari hanno un duplice obiettivo: riallineare la normativa scolastica agli attuali bisogni educativi e favorire la responsabilizzazione e il reinserimento attivo degli studenti.</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45" w:lineRule="auto"/>
        <w:ind w:left="321" w:right="-284"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Le novità 2025 sono:</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5" w:lineRule="auto"/>
        <w:ind w:left="321" w:right="-284"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sospensioni ridotte e maggior utilizzo di attività alternative;</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5" w:lineRule="auto"/>
        <w:ind w:left="321" w:right="-284"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coinvolgimento di “strutture di accoglienza studenti indisciplinati” per periodi di allontanamento da scuola;</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2" w:before="0" w:line="245" w:lineRule="auto"/>
        <w:ind w:left="321" w:right="-284"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rafforzamento dei protocolli di gestione studenti problematici con il supporto di figure esperte.</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45" w:lineRule="auto"/>
        <w:ind w:left="321" w:right="-284"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 punti salienti delle nuove procedure sono;</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5" w:lineRule="auto"/>
        <w:ind w:left="321" w:right="-284"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tempi più rapidi;</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5" w:lineRule="auto"/>
        <w:ind w:left="321" w:right="-284"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maggiore coinvolgimento delle famiglie nei percorsi alternativi;</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5" w:lineRule="auto"/>
        <w:ind w:left="321" w:right="-284"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necessità di documentare ogni tappa con report formali;</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 w:before="0" w:line="245" w:lineRule="auto"/>
        <w:ind w:left="321" w:right="-284"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dialogo costante con i referenti delle strutture di accoglienza.</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21" w:right="-284" w:firstLine="0"/>
        <w:jc w:val="left"/>
        <w:rPr>
          <w:rFonts w:ascii="Times New Roman" w:cs="Times New Roman" w:eastAsia="Times New Roman" w:hAnsi="Times New Roman"/>
          <w:b w:val="0"/>
          <w:i w:val="0"/>
          <w:smallCaps w:val="0"/>
          <w:strike w:val="0"/>
          <w:color w:val="ff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highlight w:val="white"/>
          <w:u w:val="none"/>
          <w:vertAlign w:val="baseline"/>
          <w:rtl w:val="0"/>
        </w:rPr>
        <w:t xml:space="preserve">Per gli studenti colpiti da provvedimenti disciplinari rilevanti, infatti, la legge 150 prevedere non solo l’allontanamento dalla scuola ma soprattutto lo svolgimento di attività di cittadinanza solidale presso strutture convenzionate con le istituzioni scolastiche, nell’ambito dell’elenco fornito dal Ministero (elenco che però, ad oggi, non è ancora noto).</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76" w:lineRule="auto"/>
        <w:ind w:left="0" w:right="-284"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highlight w:val="white"/>
          <w:u w:val="none"/>
          <w:vertAlign w:val="baseline"/>
          <w:rtl w:val="0"/>
        </w:rPr>
        <w:t xml:space="preserve">In attesa di ulteriori indicazioni ministeriali, si riportano le seguenti tabelle già in vigore, che potranno essere eventualmente modificate nel corso dell’anno scolastico.</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21" w:right="-284"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017.0" w:type="dxa"/>
        <w:jc w:val="center"/>
        <w:tblLayout w:type="fixed"/>
        <w:tblLook w:val="0000"/>
      </w:tblPr>
      <w:tblGrid>
        <w:gridCol w:w="5499"/>
        <w:gridCol w:w="2654"/>
        <w:gridCol w:w="1864"/>
        <w:tblGridChange w:id="0">
          <w:tblGrid>
            <w:gridCol w:w="5499"/>
            <w:gridCol w:w="2654"/>
            <w:gridCol w:w="1864"/>
          </w:tblGrid>
        </w:tblGridChange>
      </w:tblGrid>
      <w:tr>
        <w:trPr>
          <w:cantSplit w:val="0"/>
          <w:trHeight w:val="66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20" w:hanging="29"/>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COMPORTAMENTO DA SANZIONARE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365" w:right="42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TIPOLOGIA DELLE SANZIONI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448"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 CASO DI</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484"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RECIDIVA</w:t>
            </w:r>
            <w:r w:rsidDel="00000000" w:rsidR="00000000" w:rsidRPr="00000000">
              <w:rPr>
                <w:rtl w:val="0"/>
              </w:rPr>
            </w:r>
          </w:p>
        </w:tc>
      </w:tr>
      <w:tr>
        <w:trPr>
          <w:cantSplit w:val="0"/>
          <w:trHeight w:val="69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Mancanza di rispetto, linguaggio e gesti irriguardosi e offensivi verso gli altri.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066" w:right="112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802" w:right="85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Violenze psicologiche e/o minacce verso gli altri.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66" w:right="112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802" w:right="85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Aggressione verbale e violenze fisiche verso gli altri.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066" w:right="112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802" w:right="85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w:t>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Pericolo e compromissione dell’incolumità delle persone.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1063" w:right="112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321" w:right="2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riporta di seguito la tabella (alla data di emanazione del presente Regolamento) con l’elenco delle condotte e delle relative sanzioni, ribadendo 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divieto assoluto di utilizzo di cellulari, smartphone o tablet durante il tempo scuola (quindi anche durante visite d’istruzione e attività extracurriculari)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 eccezione dei casi in cui il personale della scuola ne autorizzi l’uso.</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321" w:right="23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ricorda che qualora lo studente accendesse o utilizzasse il cellulare o altri dispositivi affini durante il tempo scuola, ciò comporterà 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immediato e temporaneo ritiro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dispositivo da parte del docente e la riconsegna unicamente al genitore o ad un suo delegato. Parimenti, l’uso improprio di cellulari, smartphone, tablet, e del web durante attività didattiche che ne richiedano l’utilizzo a scuola, comporterà l’attivazione di adeguati e proporzionati provvedimenti disciplinari, secondo quanto stabilito dal presente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321" w:right="239" w:firstLine="0"/>
        <w:jc w:val="both"/>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321" w:right="239" w:firstLine="0"/>
        <w:jc w:val="both"/>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tbl>
      <w:tblPr>
        <w:tblStyle w:val="Table2"/>
        <w:tblW w:w="9749.0" w:type="dxa"/>
        <w:jc w:val="center"/>
        <w:tblLayout w:type="fixed"/>
        <w:tblLook w:val="0000"/>
      </w:tblPr>
      <w:tblGrid>
        <w:gridCol w:w="5212"/>
        <w:gridCol w:w="4537"/>
        <w:tblGridChange w:id="0">
          <w:tblGrid>
            <w:gridCol w:w="5212"/>
            <w:gridCol w:w="4537"/>
          </w:tblGrid>
        </w:tblGridChange>
      </w:tblGrid>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2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COMPORTAMENTO DA SANZIONARE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20" w:firstLine="0"/>
              <w:jc w:val="center"/>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TIPOLOGIA DELLE SANZIONI</w:t>
            </w:r>
            <w:r w:rsidDel="00000000" w:rsidR="00000000" w:rsidRPr="00000000">
              <w:rPr>
                <w:rtl w:val="0"/>
              </w:rPr>
            </w:r>
          </w:p>
        </w:tc>
      </w:tr>
      <w:tr>
        <w:trPr>
          <w:cantSplit w:val="0"/>
          <w:trHeight w:val="9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Uso  non  autorizzato del  cellulare, dello  smartphone e  di</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qualsiasi altro supporto durante le ore di lezione.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Ammonizione scritta (sanzione tipologia A).</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Se reiterato, sospensione da 1 a 2 giorni o attività alternativa concordata con la famiglia.</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(sanzione tipologia B).</w:t>
            </w:r>
            <w:r w:rsidDel="00000000" w:rsidR="00000000" w:rsidRPr="00000000">
              <w:rPr>
                <w:rtl w:val="0"/>
              </w:rPr>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31"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Riprendere   per   mezzo   di   videocamera   fotografica   o</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22"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audiovisiva, o registrare via audio e video, senza autorizzazione del diretto interessato, luoghi o momenti dell’attività scolastica ed extracurricolare dell’Istituto nel suo complesso.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Sospensione da 1 a 5 giorni o attività alternativa concordata con la famiglia.</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(sanzione tipologia B).</w:t>
            </w:r>
            <w:r w:rsidDel="00000000" w:rsidR="00000000" w:rsidRPr="00000000">
              <w:rPr>
                <w:rtl w:val="0"/>
              </w:rPr>
            </w:r>
          </w:p>
        </w:tc>
      </w:tr>
      <w:tr>
        <w:trPr>
          <w:cantSplit w:val="0"/>
          <w:trHeight w:val="93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Pubblicare su  social network e  in  ogni applicazione web</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2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video girati di nascosto e/o foto, dove sono presenti persone filmate senza il loro consenso.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Sospensione da 1 a 5 giorni o attività alternativa concordata con la famiglia.</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(sanzione tipologia B).</w:t>
            </w:r>
            <w:r w:rsidDel="00000000" w:rsidR="00000000" w:rsidRPr="00000000">
              <w:rPr>
                <w:rtl w:val="0"/>
              </w:rPr>
            </w:r>
          </w:p>
        </w:tc>
      </w:tr>
      <w:tr>
        <w:trPr>
          <w:cantSplit w:val="0"/>
          <w:trHeight w:val="11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Inviare messaggi offensivi; atti di cyberbullismo nell’ambito</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della scuola.</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26"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[L’elenco  delle  tipologie  di  messaggi  offensivi  si  trova all’interno dell’</w:t>
            </w:r>
            <w:r w:rsidDel="00000000" w:rsidR="00000000" w:rsidRPr="00000000">
              <w:rPr>
                <w:rFonts w:ascii="Times New Roman" w:cs="Times New Roman" w:eastAsia="Times New Roman" w:hAnsi="Times New Roman"/>
                <w:b w:val="0"/>
                <w:i w:val="1"/>
                <w:smallCaps w:val="0"/>
                <w:strike w:val="0"/>
                <w:color w:val="ff0000"/>
                <w:sz w:val="20"/>
                <w:szCs w:val="20"/>
                <w:u w:val="none"/>
                <w:shd w:fill="auto" w:val="clear"/>
                <w:vertAlign w:val="baseline"/>
                <w:rtl w:val="0"/>
              </w:rPr>
              <w:t xml:space="preserve">e-Policy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sull’uso accettabile delle TIC].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Sospensione da 1 a 7 giorni o attività alternativa concordata con la famiglia.</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(sanzione tipologia B).</w:t>
            </w:r>
            <w:r w:rsidDel="00000000" w:rsidR="00000000" w:rsidRPr="00000000">
              <w:rPr>
                <w:rtl w:val="0"/>
              </w:rPr>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Legenda delle sanzioni:</w: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80.0" w:type="dxa"/>
        <w:jc w:val="left"/>
        <w:tblInd w:w="-8.000000000000007" w:type="dxa"/>
        <w:tblLayout w:type="fixed"/>
        <w:tblLook w:val="0000"/>
      </w:tblPr>
      <w:tblGrid>
        <w:gridCol w:w="4645"/>
        <w:gridCol w:w="5135"/>
        <w:tblGridChange w:id="0">
          <w:tblGrid>
            <w:gridCol w:w="4645"/>
            <w:gridCol w:w="5135"/>
          </w:tblGrid>
        </w:tblGridChange>
      </w:tblGrid>
      <w:tr>
        <w:trPr>
          <w:cantSplit w:val="0"/>
          <w:trHeight w:val="41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1" w:right="1473"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ANZIONI DI TIPO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14" w:right="57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[decise dal singolo docente o dai docenti di</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 w:right="58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classe/interclasse/classi parallele/di plesso]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341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richiamo verbale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2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invito alla riflessione individuale, anche fuori dall’aula, alla presenza e con l’aiuto del docente interessato</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102" w:right="12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richiamo  verbale e  invito  alla  riflessione guidata  alla presenza e con la guida del Dirigente scolastico</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2" w:right="122"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consegna   da   svolgere   in   classe   significativa   e commisurata</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6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consegna da svolgere a casa significativa e commisurata</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29"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sospensione    temporanea    dalle     attività     ludiche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384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dell’intervallo</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3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 ammonizione scritta sul libretto personale o quaderno delle comunicazioni</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25"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 ammonizione scritta sul registro di classe e riportata sul libretto personale o quaderno delle comunicazioni eventualmente controfirmata dal Dirigente Scolastico</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ammonizione  scritta  ufficiale  da  parte  del  Dirigente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41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Scolastico</w:t>
            </w:r>
            <w:r w:rsidDel="00000000" w:rsidR="00000000" w:rsidRPr="00000000">
              <w:rPr>
                <w:rtl w:val="0"/>
              </w:rPr>
            </w:r>
          </w:p>
        </w:tc>
      </w:tr>
      <w:tr>
        <w:trPr>
          <w:cantSplit w:val="0"/>
          <w:trHeight w:val="18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6" w:right="1479"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ANZIONI DI TIPO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35" w:right="29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[decise dal Consiglio di classe: docenti + genitori]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sospensione  dalle  visite  guidate,  viaggi  d’istruzione,</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gruppi sportivi o altre attività con l’obbligo della presenza a</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scuola con altre mansioni concordate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102" w:right="12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sospensione  dalle  lezioni  con  o  senza  obbligo  di frequenza fino a tre giorni</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2" w:right="1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sospensione  dalle  lezioni  con  o  senza  obbligo  di frequenza fino a quindici giorni</w:t>
            </w:r>
            <w:r w:rsidDel="00000000" w:rsidR="00000000" w:rsidRPr="00000000">
              <w:rPr>
                <w:rtl w:val="0"/>
              </w:rPr>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 w:right="147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ANZIONI DI TIPO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08" w:right="96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[adottate a livello superiore]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284" w:right="34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(potrebbero compromettere l’ammissione alla</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8" w:right="15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classe successiva)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3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sospensione oltre i quindici giorni e quanto previsto dal</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9" w:lineRule="auto"/>
              <w:ind w:left="102" w:right="1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c.6 dell’art.1 del D.P.R. 235/07, solo nel caso di fatti di rilevanza penale o di pericolo per l’incolumità delle persone tali da richiedere l’intervento degli Organi Istituzionali di Competenza</w:t>
            </w: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880" w:left="840" w:right="1060" w:header="0" w:footer="1061"/>
        </w:sect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16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LLEGATO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9"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PROTOCOLLO D’AZIONE IN CASO DI ATTI DI BULLISMO E CYBERBULLISMO</w:t>
      </w: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21" w:right="123"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protocollo d’azione in caso di atti di bullismo e cyberbullismo vuole configurarsi come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procedura da seguire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 gestione da parte della scuola di presunte azioni di bullismo e vittimizzazione avvenute all’interno dell’istituto.</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99999999999994" w:lineRule="auto"/>
        <w:ind w:left="221" w:right="127"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Sebbene non tutti i casi possano essere gestiti esclusivamente dalla scuola, il coinvolgimento della stessa nella presa in carico delle emergenze risulta fondamentale perché consente di:</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51" w:right="0" w:hanging="27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interrompere o alleviare le sofferenze della vittima;</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51" w:right="-20" w:hanging="27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rendere il bullo o i bulli responsabili delle proprie azioni;</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851" w:right="45" w:hanging="27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mostrare a studenti e genitori che ogni atto di bullismo e/o di violenza, di cui la scuola è a conoscenza, viene ammonito e comporta le conseguenze previste dal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Regolamento;</w:t>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41" w:line="276" w:lineRule="auto"/>
        <w:ind w:left="850" w:right="0" w:hanging="27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mostrare che nessun atto di bullismo e/o di violenza è ammesso né tollerato all’interno dell’istituto o lasciato accadere senza intervenire.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221" w:right="119"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Direttamente coinvolto nella gestione dei vari casi è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bullismo e cyberbullismo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d’Istituto (formato dal Referente unico d’Istituto, dall’Animatore Digitale, dai Responsabili di Plesso dei diversi ordini di scuola dell’Omnicomprensivo e da un altro docente, unitamente all’assistenza dello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psicologo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così come previsto dal Protocollo d’Intesa tra MI e CNOP siglato in data 25 settembre 2020).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responsabile della presa in carico e della valutazione del caso, della decisione relativa alla tipologia di interventi da attuare, nonché del monitoraggio del caso nel corso del tempo, il tutto in collaborazione con il Dirigente, gli altri docenti e i genitori degli alunni coinvolti.</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930" w:right="-23"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CHEMA DI PROTOCOLLO DI AZIONE *</w:t>
      </w:r>
      <w:r w:rsidDel="00000000" w:rsidR="00000000" w:rsidRPr="00000000">
        <w:rPr>
          <w:rtl w:val="0"/>
        </w:rPr>
      </w:r>
    </w:p>
    <w:tbl>
      <w:tblPr>
        <w:tblStyle w:val="Table4"/>
        <w:tblW w:w="10038.0" w:type="dxa"/>
        <w:jc w:val="left"/>
        <w:tblInd w:w="-8.000000000000007" w:type="dxa"/>
        <w:tblLayout w:type="fixed"/>
        <w:tblLook w:val="0000"/>
      </w:tblPr>
      <w:tblGrid>
        <w:gridCol w:w="3085"/>
        <w:gridCol w:w="4537"/>
        <w:gridCol w:w="2416"/>
        <w:tblGridChange w:id="0">
          <w:tblGrid>
            <w:gridCol w:w="3085"/>
            <w:gridCol w:w="4537"/>
            <w:gridCol w:w="2416"/>
          </w:tblGrid>
        </w:tblGridChange>
      </w:tblGrid>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263" w:right="131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FASE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529" w:right="15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SCOPO E AZIONI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26"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SOGGETTI COINVOLTI</w:t>
            </w:r>
            <w:r w:rsidDel="00000000" w:rsidR="00000000" w:rsidRPr="00000000">
              <w:rPr>
                <w:rtl w:val="0"/>
              </w:rPr>
            </w:r>
          </w:p>
        </w:tc>
      </w:tr>
      <w:tr>
        <w:trPr>
          <w:cantSplit w:val="0"/>
          <w:trHeight w:val="13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1.Segnalazione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3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Segnalare          un          presunto          caso          di</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bullismo/cyberbullismo per attivare un processo di valutazione e di presa in carico della situazione da parte della scuola.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Alunno vittima</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Alunni testimoni</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Referente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9"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Docenti</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9"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Genitori</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9"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Personale ATA</w:t>
            </w:r>
          </w:p>
        </w:tc>
      </w:tr>
      <w:tr>
        <w:trPr>
          <w:cantSplit w:val="0"/>
          <w:trHeight w:val="11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2.Analisi e valutazione dei fatti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33"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Raccogliere      informazioni      e       testimonianze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sull’accaduto, valutare se  si  tratta  di  un  effettivo caso di bullismo/cyberbullismo e scegliere la tipologia di intervento più adeguata al caso.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Docenti di classe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6"/>
              </w:tabs>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Team bullismo</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6"/>
              </w:tabs>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Collaboratrice del DS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Dirigente</w:t>
            </w:r>
            <w:r w:rsidDel="00000000" w:rsidR="00000000" w:rsidRPr="00000000">
              <w:rPr>
                <w:rtl w:val="0"/>
              </w:rPr>
            </w:r>
          </w:p>
        </w:tc>
      </w:tr>
      <w:tr>
        <w:trPr>
          <w:cantSplit w:val="0"/>
          <w:trHeight w:val="18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3.Intervento e gestione del caso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131"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Gestire  il  caso  attraverso  uno  o  più  interventi</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opportuni,  che  prevedano  il  coinvolgimento delle famiglie degli alunni coinvolti, il supporto alla vittima, nonché misure per responsabilizzare il bullo/cyber bullo.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Team bullismo</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Alunni coinvolti</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Genitori degli alunni Consiglio di classe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Dirigente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6"/>
              </w:tabs>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Collaboratrice del DS</w:t>
            </w:r>
          </w:p>
        </w:tc>
      </w:tr>
      <w:tr>
        <w:trPr>
          <w:cantSplit w:val="0"/>
          <w:trHeight w:val="93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4.Monitoraggio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Monitorare   l’efficacia   nel   tempo   delle   azioni</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intraprese.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Team bullismo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Docenti di classe</w:t>
            </w:r>
          </w:p>
        </w:tc>
      </w:tr>
    </w:tbl>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280" w:top="940" w:left="840" w:right="940" w:header="0" w:footer="106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Le schede relative alle 4 fasi sopra descritte sono state redatte dal Team d’Istituto e sono consultabili sul sito web della scuola, nell’apposita sezione.</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70" w:line="240" w:lineRule="auto"/>
        <w:ind w:left="102" w:right="-23"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Fase 1: S</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EGNALAZIONE</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5" w:lineRule="auto"/>
        <w:ind w:left="101" w:right="11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fase di segnalazione ha lo scopo di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attivare un processo di attenzione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di successive valutazioni relative ad un presunto caso di bullismo o cyberbullismo, evitando che un caso di sofferenza non sia considerato perché sottovalutato o ritenuto poco importante.</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5" w:lineRule="auto"/>
        <w:ind w:left="101" w:right="119"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prima segnalazione di un presunto caso di bullismo e cyberbullismo all’interno della scuola può avvenire da parte di chiunque: la vittima stessa, eventuali testimoni, genitori, docenti, personale ATA.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1" w:right="12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Parimenti tale segnalazione può essere accolta da chiunque (studenti, docenti, genitori,..). Chi si trovi nella situazione di accoglienza di segnalazione di un caso di bullismo ha il dovere di informare, per via orale o scritta, il Referente d’istituto o un altro membro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bullismo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modo tale da permettere una tempestiva valutazione del caso e un altrettanto rapido intervento.</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2" w:right="-23"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Fase 2: A</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NALISI E VALUTAZIONE DEI FATTI</w: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01" w:right="117"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Ricevuta la prima segnalazione,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bullismo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 il dirigente e/o la vicaria e procede immediatamente all’analisi e alla valutazione dei fatti, in collaborazione con il docente coordinatore di classe e con gli altri insegnanti della scuola. Scopo di tale fase è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raccolta di informazioni dettagliate sull’accaduto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esaminare la tipologia e la gravità dei fatti 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decidere la tipologia di intervento da attuare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122"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tale proposito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effettuerà interviste e colloqui con gli attori principali (chi ha fatto la segnalazione, la vittima, i compagni testimoni, gli insegnanti di classe, ...), raccoglierà le diverse versioni e tenterà di ricostruire l’accaduto tramite la raccolta di prove e documenti (quando è successo il fatto, dove, con quali modalità).</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11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volta raccolte le testimonianze, i soggetti coinvolti (Docenti di classe, Team bullismo, I Collaboratrice della DS, Dirigente) procedono alla valutazione. Se i fatti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configurabili come bullismo e cyberbullismo, non si interviene in maniera specifica, ma prosegue il compito educativo della scuola. Qualora invece i fatti risultino confermati ed esistano prove oggettive di atti di bullismo e cyberbullismo,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aprirà un protocollo e proporrà le azioni da intraprendere condividendole con il Dirigente in forma orale e scritta.</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2" w:right="-23"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Fase 3: S</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CELTA DELL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INTERVENTO E GESTIONE DEL CASO</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5" w:lineRule="auto"/>
        <w:ind w:left="101" w:right="122"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seguito di un’approfondita valutazione 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sceglierà come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gestire il caso attraverso uno o più interventi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Ogni caso ha naturalmente caratteristiche specifiche e andrà trattato in maniera diversa dagli altri. Tuttavia in linea di massima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procedura da seguire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la seguente:</w:t>
      </w:r>
    </w:p>
    <w:p w:rsidR="00000000" w:rsidDel="00000000" w:rsidP="00000000" w:rsidRDefault="00000000" w:rsidRPr="00000000" w14:paraId="0000015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 w:line="240" w:lineRule="auto"/>
        <w:ind w:left="720" w:right="-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supporto e protezione alla vittima per evitare che si senta responsabile;</w:t>
      </w:r>
    </w:p>
    <w:p w:rsidR="00000000" w:rsidDel="00000000" w:rsidP="00000000" w:rsidRDefault="00000000" w:rsidRPr="00000000" w14:paraId="0000015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1" w:line="276" w:lineRule="auto"/>
        <w:ind w:left="720" w:right="4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comunicazione alla famiglia della vittima tramite convocazione: si descrivono i fatti e si fornisce supporto nell’affrontare la situazione, concordando modalità di soluzione e analizzando le risorse disponibili dentro e fuori la scuola (sportello di ascolto, educatori, altri..);</w:t>
      </w:r>
    </w:p>
    <w:p w:rsidR="00000000" w:rsidDel="00000000" w:rsidP="00000000" w:rsidRDefault="00000000" w:rsidRPr="00000000" w14:paraId="000001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comunicazione alla famiglia del bullo/cyber bullo tramite convocazione: si descrivono i fatti, si preannunciano le sanzioni disciplinari, si fornisce supporto nell’affrontare la situazione, si analizza l’eventuale necessità di supporti personalizzati (sportello di ascolto, interventi psico- educativi,..);</w:t>
      </w:r>
    </w:p>
    <w:p w:rsidR="00000000" w:rsidDel="00000000" w:rsidP="00000000" w:rsidRDefault="00000000" w:rsidRPr="00000000" w14:paraId="000001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convocazione straordinaria del Consiglio o del Team di classe: scelta dell’intervento da attuare (approccio educativo con la classe, intervento individuale con il bullo e la vittima,</w:t>
      </w:r>
    </w:p>
    <w:p w:rsidR="00000000" w:rsidDel="00000000" w:rsidP="00000000" w:rsidRDefault="00000000" w:rsidRPr="00000000" w14:paraId="000001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69" w:line="276" w:lineRule="auto"/>
        <w:ind w:left="720" w:right="5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gestione della relazione tra bullo e vittima, eventuale coinvolgimento dei servizi del territorio); scelta del tipo di provvedimento disciplinare da prendere nei confronti del bullo, in base alla gravità; condivisione della decisione con la famiglia;</w:t>
      </w:r>
    </w:p>
    <w:p w:rsidR="00000000" w:rsidDel="00000000" w:rsidP="00000000" w:rsidRDefault="00000000" w:rsidRPr="00000000" w14:paraId="000001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 w:line="240" w:lineRule="auto"/>
        <w:ind w:left="720" w:right="5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lettera di comunicazione formale ai genitori del bullo/cyberbullo sulle decisioni prese dal Consiglio di classe o Team di classe;</w:t>
      </w:r>
    </w:p>
    <w:p w:rsidR="00000000" w:rsidDel="00000000" w:rsidP="00000000" w:rsidRDefault="00000000" w:rsidRPr="00000000" w14:paraId="000001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41" w:line="240" w:lineRule="auto"/>
        <w:ind w:left="720" w:right="5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eventuale denuncia all’autorità giudiziaria in caso di reato.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02" w:right="-23"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Fase 4: M</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ONITORAGGIO</w:t>
      </w: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01" w:right="11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bullismo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ha condotto la gestione del caso, i docenti di classe e gli altri soggetti coinvolti (afferenti al tavolo permanente di monitoraggio), provvederanno ad un attento monitoraggio della situazione, con lo scopo di verificare eventuali cambiamenti a seguito dell’intervento, l’efficacia delle misure prese, la presa di coscienza delle proprie azioni da parte del bullo/cyberbullo, l’effettiva interruzione delle sofferenze da parte della vittima.</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01" w:right="11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53" w:before="0" w:line="240" w:lineRule="auto"/>
        <w:ind w:left="0" w:right="0" w:firstLine="0"/>
        <w:jc w:val="center"/>
        <w:rPr>
          <w:rFonts w:ascii="Bodoni" w:cs="Bodoni" w:eastAsia="Bodoni" w:hAnsi="Bodoni"/>
          <w:b w:val="0"/>
          <w:i w:val="0"/>
          <w:smallCaps w:val="0"/>
          <w:strike w:val="0"/>
          <w:color w:val="ff0000"/>
          <w:sz w:val="24"/>
          <w:szCs w:val="24"/>
          <w:u w:val="none"/>
          <w:shd w:fill="auto" w:val="clear"/>
          <w:vertAlign w:val="baseline"/>
        </w:rPr>
      </w:pPr>
      <w:r w:rsidDel="00000000" w:rsidR="00000000" w:rsidRPr="00000000">
        <w:rPr>
          <w:rFonts w:ascii="Bodoni" w:cs="Bodoni" w:eastAsia="Bodoni" w:hAnsi="Bodoni"/>
          <w:b w:val="0"/>
          <w:i w:val="0"/>
          <w:smallCaps w:val="0"/>
          <w:strike w:val="0"/>
          <w:color w:val="ff0000"/>
          <w:sz w:val="24"/>
          <w:szCs w:val="24"/>
          <w:u w:val="none"/>
          <w:shd w:fill="auto" w:val="clear"/>
          <w:vertAlign w:val="baseline"/>
          <w:rtl w:val="0"/>
        </w:rPr>
        <w:t xml:space="preserve">APPROVATO CON DELIBERA N.   DEL COLLEGIO DOCENTI</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01" w:right="118" w:firstLine="708"/>
        <w:jc w:val="center"/>
        <w:rPr>
          <w:rFonts w:ascii="Bodoni" w:cs="Bodoni" w:eastAsia="Bodoni" w:hAnsi="Bodon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01" w:right="11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01" w:right="118"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2" w:right="119" w:firstLine="709"/>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IL REFERENTE SCOLASTICO BULL/CYBERB</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01" w:right="118" w:firstLine="70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PROF. VINCENZO MARIA PINTO</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2" w:right="119" w:firstLine="70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Firma autografa sostituita a mezzo stampa</w:t>
      </w: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2" w:right="119" w:firstLine="70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ai sensi dell'art. 3 comma 2 del D.L. 39/93</w:t>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2" w:right="119" w:firstLine="709"/>
        <w:jc w:val="center"/>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IL DIRIGENTE SCOLASTICO</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76" w:lineRule="auto"/>
        <w:ind w:left="101" w:right="118" w:firstLine="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PROF. SSA PAOLA MIGALDI</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2" w:right="119" w:firstLine="709"/>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Firma autografa sostituita a mezzo stampa</w:t>
      </w: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02" w:right="119" w:firstLine="709"/>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ai sensi dell'art. 3 comma 2 del D.L. 39/93</w:t>
      </w:r>
      <w:r w:rsidDel="00000000" w:rsidR="00000000" w:rsidRPr="00000000">
        <w:rPr>
          <w:sz w:val="14"/>
          <w:szCs w:val="14"/>
          <w:rtl w:val="0"/>
        </w:rPr>
        <w:t xml:space="preserve">APPROVATO IN DATA 21/10/2025 DAL COLLEGIO DOCENTI</w:t>
      </w:r>
      <w:r w:rsidDel="00000000" w:rsidR="00000000" w:rsidRPr="00000000">
        <w:rPr>
          <w:rtl w:val="0"/>
        </w:rPr>
      </w:r>
    </w:p>
    <w:sectPr>
      <w:type w:val="nextPage"/>
      <w:pgSz w:h="16840" w:w="11920" w:orient="portrait"/>
      <w:pgMar w:bottom="280" w:top="900" w:left="960" w:right="940" w:header="0" w:footer="106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sset">
    <w:embedRegular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3052128</wp:posOffset>
              </wp:positionH>
              <wp:positionV relativeFrom="paragraph">
                <wp:posOffset>9874568</wp:posOffset>
              </wp:positionV>
              <wp:extent cx="200660" cy="175260"/>
              <wp:effectExtent b="0" l="0" r="0" t="0"/>
              <wp:wrapNone/>
              <wp:docPr id="1027" name=""/>
              <a:graphic>
                <a:graphicData uri="http://schemas.microsoft.com/office/word/2010/wordprocessingShape">
                  <wps:wsp>
                    <wps:cNvSpPr/>
                    <wps:cNvPr id="3" name="Shape 3"/>
                    <wps:spPr>
                      <a:xfrm>
                        <a:off x="5250433" y="3697133"/>
                        <a:ext cx="191135" cy="165735"/>
                      </a:xfrm>
                      <a:prstGeom prst="rect">
                        <a:avLst/>
                      </a:prstGeom>
                      <a:noFill/>
                      <a:ln>
                        <a:noFill/>
                      </a:ln>
                    </wps:spPr>
                    <wps:txbx>
                      <w:txbxContent>
                        <w:p w:rsidR="00000000" w:rsidDel="00000000" w:rsidP="00000000" w:rsidRDefault="00000000" w:rsidRPr="00000000">
                          <w:pPr>
                            <w:spacing w:after="0" w:before="0" w:line="275.9999942779541"/>
                            <w:ind w:left="40" w:right="-2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PAGE 13</w:t>
                          </w:r>
                        </w:p>
                        <w:p w:rsidR="00000000" w:rsidDel="00000000" w:rsidP="00000000" w:rsidRDefault="00000000" w:rsidRPr="00000000">
                          <w:pPr>
                            <w:spacing w:after="0" w:before="0" w:line="275.9999942779541"/>
                            <w:ind w:left="40" w:right="-2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3052128</wp:posOffset>
              </wp:positionH>
              <wp:positionV relativeFrom="paragraph">
                <wp:posOffset>9874568</wp:posOffset>
              </wp:positionV>
              <wp:extent cx="200660" cy="175260"/>
              <wp:effectExtent b="0" l="0" r="0" t="0"/>
              <wp:wrapNone/>
              <wp:docPr id="102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00660"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181" w:hanging="360"/>
      </w:pPr>
      <w:rPr>
        <w:rFonts w:ascii="Noto Sans Symbols" w:cs="Noto Sans Symbols" w:eastAsia="Noto Sans Symbols" w:hAnsi="Noto Sans Symbols"/>
        <w:vertAlign w:val="baseline"/>
      </w:rPr>
    </w:lvl>
    <w:lvl w:ilvl="1">
      <w:start w:val="1"/>
      <w:numFmt w:val="bullet"/>
      <w:lvlText w:val="o"/>
      <w:lvlJc w:val="left"/>
      <w:pPr>
        <w:ind w:left="1901" w:hanging="360"/>
      </w:pPr>
      <w:rPr>
        <w:rFonts w:ascii="Courier New" w:cs="Courier New" w:eastAsia="Courier New" w:hAnsi="Courier New"/>
        <w:vertAlign w:val="baseline"/>
      </w:rPr>
    </w:lvl>
    <w:lvl w:ilvl="2">
      <w:start w:val="1"/>
      <w:numFmt w:val="bullet"/>
      <w:lvlText w:val="▪"/>
      <w:lvlJc w:val="left"/>
      <w:pPr>
        <w:ind w:left="2621" w:hanging="360"/>
      </w:pPr>
      <w:rPr>
        <w:rFonts w:ascii="Noto Sans Symbols" w:cs="Noto Sans Symbols" w:eastAsia="Noto Sans Symbols" w:hAnsi="Noto Sans Symbols"/>
        <w:vertAlign w:val="baseline"/>
      </w:rPr>
    </w:lvl>
    <w:lvl w:ilvl="3">
      <w:start w:val="1"/>
      <w:numFmt w:val="bullet"/>
      <w:lvlText w:val="●"/>
      <w:lvlJc w:val="left"/>
      <w:pPr>
        <w:ind w:left="3341" w:hanging="360"/>
      </w:pPr>
      <w:rPr>
        <w:rFonts w:ascii="Noto Sans Symbols" w:cs="Noto Sans Symbols" w:eastAsia="Noto Sans Symbols" w:hAnsi="Noto Sans Symbols"/>
        <w:vertAlign w:val="baseline"/>
      </w:rPr>
    </w:lvl>
    <w:lvl w:ilvl="4">
      <w:start w:val="1"/>
      <w:numFmt w:val="bullet"/>
      <w:lvlText w:val="o"/>
      <w:lvlJc w:val="left"/>
      <w:pPr>
        <w:ind w:left="4061" w:hanging="360"/>
      </w:pPr>
      <w:rPr>
        <w:rFonts w:ascii="Courier New" w:cs="Courier New" w:eastAsia="Courier New" w:hAnsi="Courier New"/>
        <w:vertAlign w:val="baseline"/>
      </w:rPr>
    </w:lvl>
    <w:lvl w:ilvl="5">
      <w:start w:val="1"/>
      <w:numFmt w:val="bullet"/>
      <w:lvlText w:val="▪"/>
      <w:lvlJc w:val="left"/>
      <w:pPr>
        <w:ind w:left="4781" w:hanging="360"/>
      </w:pPr>
      <w:rPr>
        <w:rFonts w:ascii="Noto Sans Symbols" w:cs="Noto Sans Symbols" w:eastAsia="Noto Sans Symbols" w:hAnsi="Noto Sans Symbols"/>
        <w:vertAlign w:val="baseline"/>
      </w:rPr>
    </w:lvl>
    <w:lvl w:ilvl="6">
      <w:start w:val="1"/>
      <w:numFmt w:val="bullet"/>
      <w:lvlText w:val="●"/>
      <w:lvlJc w:val="left"/>
      <w:pPr>
        <w:ind w:left="5501" w:hanging="360"/>
      </w:pPr>
      <w:rPr>
        <w:rFonts w:ascii="Noto Sans Symbols" w:cs="Noto Sans Symbols" w:eastAsia="Noto Sans Symbols" w:hAnsi="Noto Sans Symbols"/>
        <w:vertAlign w:val="baseline"/>
      </w:rPr>
    </w:lvl>
    <w:lvl w:ilvl="7">
      <w:start w:val="1"/>
      <w:numFmt w:val="bullet"/>
      <w:lvlText w:val="o"/>
      <w:lvlJc w:val="left"/>
      <w:pPr>
        <w:ind w:left="6221" w:hanging="360"/>
      </w:pPr>
      <w:rPr>
        <w:rFonts w:ascii="Courier New" w:cs="Courier New" w:eastAsia="Courier New" w:hAnsi="Courier New"/>
        <w:vertAlign w:val="baseline"/>
      </w:rPr>
    </w:lvl>
    <w:lvl w:ilvl="8">
      <w:start w:val="1"/>
      <w:numFmt w:val="bullet"/>
      <w:lvlText w:val="▪"/>
      <w:lvlJc w:val="left"/>
      <w:pPr>
        <w:ind w:left="6941"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Collegamentoipertestuale">
    <w:name w:val="Collegamento ipertestuale"/>
    <w:next w:val="Collegamentoipertestuale"/>
    <w:autoRedefine w:val="0"/>
    <w:hidden w:val="0"/>
    <w:qFormat w:val="1"/>
    <w:rPr>
      <w:color w:val="0000ff"/>
      <w:w w:val="100"/>
      <w:position w:val="-1"/>
      <w:u w:val="single"/>
      <w:effect w:val="none"/>
      <w:vertAlign w:val="baseline"/>
      <w:cs w:val="0"/>
      <w:em w:val="none"/>
      <w:lang/>
    </w:rPr>
  </w:style>
  <w:style w:type="character" w:styleId="Menzionenonrisolta">
    <w:name w:val="Menzione non risolta"/>
    <w:next w:val="Menzionenonrisolta"/>
    <w:autoRedefine w:val="0"/>
    <w:hidden w:val="0"/>
    <w:qFormat w:val="1"/>
    <w:rPr>
      <w:color w:val="605e5c"/>
      <w:w w:val="100"/>
      <w:position w:val="-1"/>
      <w:effect w:val="none"/>
      <w:shd w:color="auto" w:fill="e1dfdd" w:val="clear"/>
      <w:vertAlign w:val="baseline"/>
      <w:cs w:val="0"/>
      <w:em w:val="none"/>
      <w:lang/>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Paragrafo elenco"/>
    <w:basedOn w:val="Normale"/>
    <w:next w:val="Paragrafoelenco"/>
    <w:autoRedefine w:val="0"/>
    <w:hidden w:val="0"/>
    <w:qFormat w:val="0"/>
    <w:pPr>
      <w:suppressAutoHyphens w:val="1"/>
      <w:spacing w:after="36" w:line="250" w:lineRule="auto"/>
      <w:ind w:left="720" w:right="12" w:leftChars="-1" w:rightChars="0" w:firstLine="2" w:firstLineChars="-1"/>
      <w:contextualSpacing w:val="1"/>
      <w:jc w:val="both"/>
      <w:textDirection w:val="btLr"/>
      <w:textAlignment w:val="top"/>
      <w:outlineLvl w:val="0"/>
    </w:pPr>
    <w:rPr>
      <w:color w:val="000000"/>
      <w:w w:val="100"/>
      <w:position w:val="-1"/>
      <w:sz w:val="22"/>
      <w:szCs w:val="22"/>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miur.gov.it/documents/20182/0/Linee+Guida+Bullismo+-+2017.pdf/4df7c320-e98f-4417-9c31-9100fd63e2be?version=1.0" TargetMode="External"/><Relationship Id="rId42" Type="http://schemas.openxmlformats.org/officeDocument/2006/relationships/hyperlink" Target="http://www.miur.gov.it/documents/20182/0/Linee+Guida+Bullismo+-+2017.pdf/4df7c320-e98f-4417-9c31-9100fd63e2be?version=1.0" TargetMode="External"/><Relationship Id="rId41" Type="http://schemas.openxmlformats.org/officeDocument/2006/relationships/hyperlink" Target="http://www.miur.gov.it/documents/20182/0/Linee+Guida+Bullismo+-+2017.pdf/4df7c320-e98f-4417-9c31-9100fd63e2be?version=1.0" TargetMode="External"/><Relationship Id="rId44" Type="http://schemas.openxmlformats.org/officeDocument/2006/relationships/hyperlink" Target="https://www.brocardi.it/codice-penale/" TargetMode="External"/><Relationship Id="rId43" Type="http://schemas.openxmlformats.org/officeDocument/2006/relationships/hyperlink" Target="https://www.brocardi.it/codice-penale/" TargetMode="External"/><Relationship Id="rId46" Type="http://schemas.openxmlformats.org/officeDocument/2006/relationships/hyperlink" Target="https://www.brocardi.it/codice-civile/" TargetMode="External"/><Relationship Id="rId45" Type="http://schemas.openxmlformats.org/officeDocument/2006/relationships/hyperlink" Target="https://www.brocardi.it/codice-civi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48" Type="http://schemas.openxmlformats.org/officeDocument/2006/relationships/hyperlink" Target="https://web.spaggiari.eu/sdg/app/default/view_documento.php?a=akVIEW_FROM_ID&amp;id_documento=171247541&amp;sede_codice=SAME0082" TargetMode="External"/><Relationship Id="rId47" Type="http://schemas.openxmlformats.org/officeDocument/2006/relationships/hyperlink" Target="https://www.icpadula.edu.it/web/wp-content/uploads/2019/12/REGOLAMENTO-DI-ISTITUTO-2019-20.pdf" TargetMode="External"/><Relationship Id="rId49" Type="http://schemas.openxmlformats.org/officeDocument/2006/relationships/hyperlink" Target="https://web.spaggiari.eu/sdg/app/default/view_documento.php?a=akVIEW_FROM_ID&amp;id_documento=171247535&amp;sede_codice=SAME008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yperlink" Target="http://www.gazzettaufficiale.it/eli/id/2017/06/03/17G00085/sg" TargetMode="External"/><Relationship Id="rId30" Type="http://schemas.openxmlformats.org/officeDocument/2006/relationships/hyperlink" Target="http://www.gazzettaufficiale.it/eli/id/2017/06/03/17G00085/sg" TargetMode="External"/><Relationship Id="rId33" Type="http://schemas.openxmlformats.org/officeDocument/2006/relationships/hyperlink" Target="http://www.gazzettaufficiale.it/eli/id/2017/06/03/17G00085/sg" TargetMode="External"/><Relationship Id="rId32" Type="http://schemas.openxmlformats.org/officeDocument/2006/relationships/hyperlink" Target="http://www.gazzettaufficiale.it/eli/id/2017/06/03/17G00085/sg" TargetMode="External"/><Relationship Id="rId35" Type="http://schemas.openxmlformats.org/officeDocument/2006/relationships/hyperlink" Target="http://www.miur.gov.it/documents/20182/0/Linee+Guida+Bullismo+-+2017.pdf/4df7c320-e98f-4417-9c31-9100fd63e2be?version=1.0" TargetMode="External"/><Relationship Id="rId34" Type="http://schemas.openxmlformats.org/officeDocument/2006/relationships/hyperlink" Target="http://www.miur.gov.it/documents/20182/0/Linee+Guida+Bullismo+-+2017.pdf/4df7c320-e98f-4417-9c31-9100fd63e2be?version=1.0" TargetMode="External"/><Relationship Id="rId37" Type="http://schemas.openxmlformats.org/officeDocument/2006/relationships/hyperlink" Target="http://www.miur.gov.it/documents/20182/0/Linee+Guida+Bullismo+-+2017.pdf/4df7c320-e98f-4417-9c31-9100fd63e2be?version=1.0" TargetMode="External"/><Relationship Id="rId36" Type="http://schemas.openxmlformats.org/officeDocument/2006/relationships/hyperlink" Target="http://www.miur.gov.it/documents/20182/0/Linee+Guida+Bullismo+-+2017.pdf/4df7c320-e98f-4417-9c31-9100fd63e2be?version=1.0" TargetMode="External"/><Relationship Id="rId39" Type="http://schemas.openxmlformats.org/officeDocument/2006/relationships/hyperlink" Target="http://www.miur.gov.it/documents/20182/0/Linee+Guida+Bullismo+-+2017.pdf/4df7c320-e98f-4417-9c31-9100fd63e2be?version=1.0" TargetMode="External"/><Relationship Id="rId38" Type="http://schemas.openxmlformats.org/officeDocument/2006/relationships/hyperlink" Target="http://www.miur.gov.it/documents/20182/0/Linee+Guida+Bullismo+-+2017.pdf/4df7c320-e98f-4417-9c31-9100fd63e2be?version=1.0" TargetMode="External"/><Relationship Id="rId20" Type="http://schemas.openxmlformats.org/officeDocument/2006/relationships/hyperlink" Target="https://archivio.pubblica.istruzione.it/normativa/2006/direttivapartecipazione_06.shtml" TargetMode="External"/><Relationship Id="rId22" Type="http://schemas.openxmlformats.org/officeDocument/2006/relationships/hyperlink" Target="https://archivio.pubblica.istruzione.it/argomenti/studentionline/diritti_doveri/default.htm" TargetMode="External"/><Relationship Id="rId21" Type="http://schemas.openxmlformats.org/officeDocument/2006/relationships/hyperlink" Target="https://archivio.pubblica.istruzione.it/argomenti/studentionline/diritti_doveri/default.htm" TargetMode="External"/><Relationship Id="rId24" Type="http://schemas.openxmlformats.org/officeDocument/2006/relationships/hyperlink" Target="http://www.istruzione.it/allegati/2015/2015_04_13_16_39_29.pdf" TargetMode="External"/><Relationship Id="rId23" Type="http://schemas.openxmlformats.org/officeDocument/2006/relationships/hyperlink" Target="http://www.istruzione.it/allegati/2015/2015_04_13_16_39_29.pdf" TargetMode="External"/><Relationship Id="rId26" Type="http://schemas.openxmlformats.org/officeDocument/2006/relationships/hyperlink" Target="http://www.camera.it/application/xmanager/projects/leg17/commissione_internet/dichiarazione_dei_diritti_internet_pubblicata.pdf" TargetMode="External"/><Relationship Id="rId25" Type="http://schemas.openxmlformats.org/officeDocument/2006/relationships/hyperlink" Target="http://www.istruzione.it/allegati/2015/2015_04_13_16_39_29.pdf" TargetMode="External"/><Relationship Id="rId28" Type="http://schemas.openxmlformats.org/officeDocument/2006/relationships/hyperlink" Target="http://www.camera.it/application/xmanager/projects/leg17/commissione_internet/dichiarazione_dei_diritti_internet_pubblicata.pdf" TargetMode="External"/><Relationship Id="rId27" Type="http://schemas.openxmlformats.org/officeDocument/2006/relationships/hyperlink" Target="http://www.camera.it/application/xmanager/projects/leg17/commissione_internet/dichiarazione_dei_diritti_internet_pubblicata.pdf" TargetMode="External"/><Relationship Id="rId29" Type="http://schemas.openxmlformats.org/officeDocument/2006/relationships/hyperlink" Target="http://www.gazzettaufficiale.it/eli/id/2017/06/03/17G00085/sg" TargetMode="External"/><Relationship Id="rId51" Type="http://schemas.openxmlformats.org/officeDocument/2006/relationships/hyperlink" Target="http://paroleostili.com/manifesto/" TargetMode="External"/><Relationship Id="rId50" Type="http://schemas.openxmlformats.org/officeDocument/2006/relationships/hyperlink" Target="https://web.spaggiari.eu/sdg/app/default/view_documento.php?a=akVIEW_FROM_ID&amp;id_documento=171271365&amp;sede_codice=SAME0082" TargetMode="External"/><Relationship Id="rId52" Type="http://schemas.openxmlformats.org/officeDocument/2006/relationships/hyperlink" Target="http://paroleostili.com/manifesto/" TargetMode="External"/><Relationship Id="rId11" Type="http://schemas.openxmlformats.org/officeDocument/2006/relationships/hyperlink" Target="http://www.senato.it/1024" TargetMode="External"/><Relationship Id="rId10" Type="http://schemas.openxmlformats.org/officeDocument/2006/relationships/hyperlink" Target="http://www.senato.it/1024" TargetMode="External"/><Relationship Id="rId13" Type="http://schemas.openxmlformats.org/officeDocument/2006/relationships/hyperlink" Target="https://archivio.pubblica.istruzione.it/normativa/2007/dir16_07.shtml" TargetMode="External"/><Relationship Id="rId12" Type="http://schemas.openxmlformats.org/officeDocument/2006/relationships/hyperlink" Target="https://archivio.pubblica.istruzione.it/normativa/2007/dir16_07.shtml" TargetMode="External"/><Relationship Id="rId15" Type="http://schemas.openxmlformats.org/officeDocument/2006/relationships/hyperlink" Target="https://archivio.pubblica.istruzione.it/normativa/2007/allegati/prot30_07.pdf" TargetMode="External"/><Relationship Id="rId14" Type="http://schemas.openxmlformats.org/officeDocument/2006/relationships/hyperlink" Target="https://archivio.pubblica.istruzione.it/normativa/2007/dir16_07.shtml" TargetMode="External"/><Relationship Id="rId17" Type="http://schemas.openxmlformats.org/officeDocument/2006/relationships/hyperlink" Target="https://www.edscuola.it/archivio/norme/direttive/dir104_07.pdf" TargetMode="External"/><Relationship Id="rId16" Type="http://schemas.openxmlformats.org/officeDocument/2006/relationships/hyperlink" Target="https://archivio.pubblica.istruzione.it/normativa/2007/allegati/prot30_07.pdf" TargetMode="External"/><Relationship Id="rId19" Type="http://schemas.openxmlformats.org/officeDocument/2006/relationships/hyperlink" Target="https://www.edscuola.it/archivio/norme/direttive/dir104_07.pdf" TargetMode="External"/><Relationship Id="rId18" Type="http://schemas.openxmlformats.org/officeDocument/2006/relationships/hyperlink" Target="https://www.edscuola.it/archivio/norme/direttive/dir104_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 Id="rId5" Type="http://schemas.openxmlformats.org/officeDocument/2006/relationships/font" Target="fonts/Asset-regular.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DCbHvdKT2E1QnzLbzBWsuEbQg==">CgMxLjA4AHIhMUpYVGRtZHJES0FjUWxqTFpRR1BLZUJiZHNPVnVIYzVW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2020-12-05T13:22:00Z</dcterms:created>
  <dc:creator>Pabli</dc:creator>
</cp:coreProperties>
</file>

<file path=docProps/custom.xml><?xml version="1.0" encoding="utf-8"?>
<Properties xmlns="http://schemas.openxmlformats.org/officeDocument/2006/custom-properties" xmlns:vt="http://schemas.openxmlformats.org/officeDocument/2006/docPropsVTypes"/>
</file>